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0" w:rsidRDefault="00094B59">
      <w:pPr>
        <w:spacing w:after="218" w:line="259" w:lineRule="auto"/>
        <w:ind w:left="0" w:righ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6"/>
        </w:rPr>
        <w:t>Załącznik nr 3</w:t>
      </w:r>
    </w:p>
    <w:p w:rsidR="00C56DD0" w:rsidRDefault="00573302">
      <w:pPr>
        <w:pStyle w:val="Nagwek1"/>
      </w:pPr>
      <w:r>
        <w:t>Założenia do projektu</w:t>
      </w:r>
    </w:p>
    <w:p w:rsidR="00C56DD0" w:rsidRDefault="00573302" w:rsidP="00B16622">
      <w:pPr>
        <w:spacing w:after="622"/>
        <w:ind w:left="14"/>
      </w:pPr>
      <w:r>
        <w:t>dla zadania inwestycyjnego p</w:t>
      </w:r>
      <w:r w:rsidR="00B16622">
        <w:t>n</w:t>
      </w:r>
      <w:r>
        <w:t xml:space="preserve">. </w:t>
      </w:r>
      <w:r w:rsidR="00B16622">
        <w:t xml:space="preserve">„Rozbudowa instalacji </w:t>
      </w:r>
      <w:proofErr w:type="spellStart"/>
      <w:r w:rsidR="00B16622">
        <w:t>SOdC</w:t>
      </w:r>
      <w:proofErr w:type="spellEnd"/>
      <w:r w:rsidR="00B16622">
        <w:t xml:space="preserve">  m. Przemyśl” etap II</w:t>
      </w:r>
      <w:r w:rsidR="00B16622">
        <w:br/>
        <w:t xml:space="preserve">w celu </w:t>
      </w:r>
      <w:r w:rsidR="00B16622" w:rsidRPr="00B16622">
        <w:t>wykonani</w:t>
      </w:r>
      <w:r w:rsidR="00B16622">
        <w:t>a</w:t>
      </w:r>
      <w:r w:rsidR="00B16622" w:rsidRPr="00B16622">
        <w:t xml:space="preserve"> prac budowlanych polegających na rozbudowie instalacji oświetlenia zewnętrznego pomiędzy budynkami nr 10, nr 12 i nr 12a Strzeżonego Ośrodka dla Cudzoziemców</w:t>
      </w:r>
      <w:r w:rsidR="00B16622">
        <w:t xml:space="preserve"> na terenie Komendy Bieszczadzkie</w:t>
      </w:r>
      <w:r w:rsidR="00C667E8">
        <w:t>go Oddziału Straży Granicznej w </w:t>
      </w:r>
      <w:r w:rsidR="00B16622">
        <w:t>Przemyślu przy ul. Mickiewicza 34</w:t>
      </w:r>
    </w:p>
    <w:p w:rsidR="00C56DD0" w:rsidRDefault="00573302">
      <w:pPr>
        <w:spacing w:after="70" w:line="259" w:lineRule="auto"/>
        <w:ind w:left="17" w:right="0" w:hanging="10"/>
        <w:jc w:val="left"/>
      </w:pPr>
      <w:r>
        <w:rPr>
          <w:sz w:val="30"/>
        </w:rPr>
        <w:t>1. Opis ogólny przedmiotu zamówienia.</w:t>
      </w:r>
    </w:p>
    <w:p w:rsidR="00C56DD0" w:rsidRDefault="00573302">
      <w:pPr>
        <w:spacing w:after="247"/>
        <w:ind w:left="14" w:right="14"/>
      </w:pPr>
      <w:r>
        <w:t xml:space="preserve">Instalacje </w:t>
      </w:r>
      <w:r w:rsidR="00C667E8">
        <w:t>oświetlenia zewnętrznego</w:t>
      </w:r>
      <w:r>
        <w:t xml:space="preserve"> </w:t>
      </w:r>
      <w:proofErr w:type="spellStart"/>
      <w:r>
        <w:t>SOdC</w:t>
      </w:r>
      <w:proofErr w:type="spellEnd"/>
      <w:r>
        <w:t xml:space="preserve"> został</w:t>
      </w:r>
      <w:r w:rsidR="00C667E8">
        <w:t>a</w:t>
      </w:r>
      <w:r>
        <w:t xml:space="preserve"> wybudowan</w:t>
      </w:r>
      <w:r w:rsidR="00C667E8">
        <w:t>a</w:t>
      </w:r>
      <w:r w:rsidR="00D831D6">
        <w:t xml:space="preserve"> w oparciu o założenia i </w:t>
      </w:r>
      <w:r>
        <w:t>projekt z 2004r.. W trakcie użytkowania obiektu pojawił</w:t>
      </w:r>
      <w:r w:rsidR="00C667E8">
        <w:t>a</w:t>
      </w:r>
      <w:r>
        <w:t xml:space="preserve"> się potrzeb</w:t>
      </w:r>
      <w:r w:rsidR="00C667E8">
        <w:t>a doświetlenia powierzchni dachów budynków nr 10, 12, 12a</w:t>
      </w:r>
      <w:r>
        <w:t xml:space="preserve">, </w:t>
      </w:r>
      <w:r w:rsidR="00C667E8">
        <w:t>czego</w:t>
      </w:r>
      <w:r>
        <w:t xml:space="preserve"> nie przewidziano w pierwotnym projekcie instalacji. </w:t>
      </w:r>
      <w:r w:rsidR="00C667E8">
        <w:t>P</w:t>
      </w:r>
      <w:r>
        <w:t xml:space="preserve">lanuje się </w:t>
      </w:r>
      <w:r w:rsidR="00C667E8">
        <w:t xml:space="preserve">wykonanie prac budowlanych polegających na rozbudowie istniejącego oświetlenia zewnętrznego </w:t>
      </w:r>
      <w:r w:rsidR="00D831D6">
        <w:t xml:space="preserve">o dodatkowe </w:t>
      </w:r>
      <w:r w:rsidR="00C70838">
        <w:t>4</w:t>
      </w:r>
      <w:r w:rsidR="00D831D6">
        <w:t xml:space="preserve"> maszty</w:t>
      </w:r>
      <w:r w:rsidR="00C70838">
        <w:t xml:space="preserve"> (słupy)</w:t>
      </w:r>
      <w:r w:rsidR="00D831D6">
        <w:t xml:space="preserve"> oś</w:t>
      </w:r>
      <w:r w:rsidR="00C667E8">
        <w:t>wietleniowe</w:t>
      </w:r>
      <w:r w:rsidR="00D831D6">
        <w:t xml:space="preserve"> o</w:t>
      </w:r>
      <w:r w:rsidR="00C70838">
        <w:t> </w:t>
      </w:r>
      <w:r w:rsidR="00D831D6">
        <w:t xml:space="preserve">wysokości do 12m </w:t>
      </w:r>
      <w:r w:rsidR="00710EFC">
        <w:t xml:space="preserve">zasilone z istniejącego </w:t>
      </w:r>
      <w:r w:rsidR="00C70838" w:rsidRPr="00C70838">
        <w:t>słupa oświetlenia zewnętrznego Nr L1</w:t>
      </w:r>
      <w:r w:rsidR="00C70838">
        <w:t>,</w:t>
      </w:r>
      <w:r w:rsidR="00C70838" w:rsidRPr="00C70838">
        <w:t xml:space="preserve"> </w:t>
      </w:r>
      <w:r w:rsidR="00D831D6">
        <w:t xml:space="preserve">umożliwiające montaż lamp </w:t>
      </w:r>
      <w:r w:rsidR="00C70838">
        <w:t xml:space="preserve">o </w:t>
      </w:r>
      <w:r w:rsidR="00710EFC">
        <w:t>odpowiedniej liczb</w:t>
      </w:r>
      <w:r w:rsidR="00C70838">
        <w:t>ie i mocy</w:t>
      </w:r>
      <w:r w:rsidR="00710EFC">
        <w:t xml:space="preserve"> </w:t>
      </w:r>
      <w:r w:rsidR="00D831D6">
        <w:t>oświetlenia typu LED, które zapewni</w:t>
      </w:r>
      <w:r w:rsidR="00710EFC">
        <w:t>ą</w:t>
      </w:r>
      <w:r w:rsidR="00D831D6">
        <w:t xml:space="preserve"> </w:t>
      </w:r>
      <w:r w:rsidR="00710EFC">
        <w:t>d</w:t>
      </w:r>
      <w:r w:rsidR="00D831D6">
        <w:t xml:space="preserve">oświetlenie terenu pomiędzy budynkami nr 10, 12, 12a </w:t>
      </w:r>
      <w:r>
        <w:t xml:space="preserve"> </w:t>
      </w:r>
      <w:r w:rsidR="00D831D6">
        <w:t xml:space="preserve">oraz </w:t>
      </w:r>
      <w:r w:rsidR="00710EFC">
        <w:t xml:space="preserve">oświetlenie </w:t>
      </w:r>
      <w:r w:rsidR="00D831D6">
        <w:t>połaci dachowych tych budynków.</w:t>
      </w:r>
    </w:p>
    <w:p w:rsidR="00D406E6" w:rsidRDefault="00573302" w:rsidP="00D406E6">
      <w:pPr>
        <w:spacing w:after="294"/>
        <w:ind w:left="14" w:right="14"/>
      </w:pPr>
      <w:r>
        <w:t xml:space="preserve">Miejsce </w:t>
      </w:r>
      <w:r w:rsidR="00B16622">
        <w:t>budowy</w:t>
      </w:r>
      <w:r>
        <w:t>:</w:t>
      </w:r>
    </w:p>
    <w:p w:rsidR="00C56DD0" w:rsidRDefault="00710EFC" w:rsidP="00D406E6">
      <w:pPr>
        <w:spacing w:after="294"/>
        <w:ind w:left="14" w:right="14"/>
      </w:pPr>
      <w:r>
        <w:t xml:space="preserve">Teren pomiędzy budynkami nr 10, 12, 12a Strzeżonego Ośrodka dla Cudzoziemców Bieszczadzkiego Oddziału Straży Granicznej przy ul. Mickiewicza 34 w Przemyślu. </w:t>
      </w:r>
    </w:p>
    <w:p w:rsidR="00C56DD0" w:rsidRDefault="00573302">
      <w:pPr>
        <w:numPr>
          <w:ilvl w:val="0"/>
          <w:numId w:val="1"/>
        </w:numPr>
        <w:spacing w:after="70" w:line="259" w:lineRule="auto"/>
        <w:ind w:right="0" w:hanging="345"/>
        <w:jc w:val="left"/>
      </w:pPr>
      <w:r>
        <w:rPr>
          <w:sz w:val="30"/>
        </w:rPr>
        <w:t>Charakterystyczne parametry określające wielkość inwestycji.</w:t>
      </w:r>
    </w:p>
    <w:p w:rsidR="00C56DD0" w:rsidRDefault="00573302">
      <w:pPr>
        <w:numPr>
          <w:ilvl w:val="1"/>
          <w:numId w:val="1"/>
        </w:numPr>
        <w:ind w:right="14"/>
      </w:pPr>
      <w:r>
        <w:t xml:space="preserve">Wykonawca zaprojektuje </w:t>
      </w:r>
      <w:r w:rsidR="00710EFC">
        <w:t xml:space="preserve">linię kablową </w:t>
      </w:r>
      <w:r>
        <w:t>zasilani</w:t>
      </w:r>
      <w:r w:rsidR="00710EFC">
        <w:t>a</w:t>
      </w:r>
      <w:r>
        <w:t xml:space="preserve"> elektryczne</w:t>
      </w:r>
      <w:r w:rsidR="00710EFC">
        <w:t xml:space="preserve">go </w:t>
      </w:r>
      <w:r w:rsidR="00C35A33">
        <w:t>oraz 4</w:t>
      </w:r>
      <w:r w:rsidR="00710EFC">
        <w:t xml:space="preserve"> maszty </w:t>
      </w:r>
      <w:r w:rsidR="00C70838">
        <w:t xml:space="preserve">(słupy) </w:t>
      </w:r>
      <w:r w:rsidR="00710EFC">
        <w:t>oświetleniowe</w:t>
      </w:r>
      <w:r w:rsidR="00C70838">
        <w:t xml:space="preserve"> </w:t>
      </w:r>
      <w:r w:rsidR="00710EFC">
        <w:t xml:space="preserve">wyposażone w </w:t>
      </w:r>
      <w:r w:rsidR="00C35A33">
        <w:t>dobraną projektowo</w:t>
      </w:r>
      <w:r w:rsidR="00710EFC">
        <w:t xml:space="preserve"> liczbę </w:t>
      </w:r>
      <w:r w:rsidR="00C35A33">
        <w:t>lamp typu LED ukierunkowanych na teren pomiędzy budynkami nr 10, 12, 12a oraz ich połacie dachowe. Kabel zasilający zostanie wyprowadzony z istniejącego słupa oświetlenia zewnętrznego Nr L1 po wymianie złącza słupowego</w:t>
      </w:r>
      <w:r w:rsidR="0032256D">
        <w:t>.</w:t>
      </w:r>
      <w:r w:rsidR="00C35A33">
        <w:t xml:space="preserve"> </w:t>
      </w:r>
      <w:r w:rsidR="00C70838">
        <w:t xml:space="preserve">Odłączenie i demontaż wybranych lamp </w:t>
      </w:r>
      <w:r w:rsidR="00C6685F">
        <w:t xml:space="preserve">oświetlenia </w:t>
      </w:r>
      <w:r w:rsidR="00C70838">
        <w:t>zewnętrzn</w:t>
      </w:r>
      <w:r w:rsidR="00C6685F">
        <w:t>ego</w:t>
      </w:r>
      <w:r w:rsidR="00C70838">
        <w:t xml:space="preserve"> budynku nr 10 od strony budynku nr 12 </w:t>
      </w:r>
      <w:proofErr w:type="spellStart"/>
      <w:r w:rsidR="00C70838">
        <w:t>SOdC</w:t>
      </w:r>
      <w:proofErr w:type="spellEnd"/>
      <w:r w:rsidR="00C70838">
        <w:t>.</w:t>
      </w:r>
    </w:p>
    <w:p w:rsidR="00C56DD0" w:rsidRDefault="0032256D">
      <w:pPr>
        <w:ind w:left="719" w:right="14"/>
      </w:pPr>
      <w:r>
        <w:t>Podstawowe parametry</w:t>
      </w:r>
      <w:r w:rsidR="00573302">
        <w:t>:</w:t>
      </w:r>
    </w:p>
    <w:p w:rsidR="00C56DD0" w:rsidRDefault="0032256D">
      <w:pPr>
        <w:numPr>
          <w:ilvl w:val="2"/>
          <w:numId w:val="1"/>
        </w:numPr>
        <w:ind w:right="14" w:hanging="712"/>
      </w:pPr>
      <w:r>
        <w:t>Linia zasilająca – kabel YKY 5x6 mm</w:t>
      </w:r>
      <w:r>
        <w:rPr>
          <w:vertAlign w:val="superscript"/>
        </w:rPr>
        <w:t xml:space="preserve">2 </w:t>
      </w:r>
      <w:r>
        <w:t>o</w:t>
      </w:r>
      <w:r w:rsidR="008A3E02">
        <w:t xml:space="preserve"> </w:t>
      </w:r>
      <w:r>
        <w:t>długości około 10</w:t>
      </w:r>
      <w:r w:rsidR="008A3E02">
        <w:t>0</w:t>
      </w:r>
      <w:r w:rsidR="00B66DCA">
        <w:t>m;</w:t>
      </w:r>
    </w:p>
    <w:p w:rsidR="00B66DCA" w:rsidRDefault="0032256D">
      <w:pPr>
        <w:numPr>
          <w:ilvl w:val="2"/>
          <w:numId w:val="1"/>
        </w:numPr>
        <w:ind w:right="14" w:hanging="712"/>
      </w:pPr>
      <w:r>
        <w:lastRenderedPageBreak/>
        <w:t>Maszty oświetlenio</w:t>
      </w:r>
      <w:r w:rsidR="008A3E02">
        <w:t xml:space="preserve">we </w:t>
      </w:r>
      <w:r w:rsidR="00B66DCA">
        <w:t xml:space="preserve">(słupy) </w:t>
      </w:r>
      <w:r w:rsidR="008A3E02">
        <w:t>stalowe</w:t>
      </w:r>
      <w:r w:rsidR="00B66DCA">
        <w:t xml:space="preserve"> lub aluminiowe</w:t>
      </w:r>
      <w:r w:rsidR="008A3E02">
        <w:t xml:space="preserve"> o wysokości do 12m (</w:t>
      </w:r>
      <w:r>
        <w:t>ostateczna wysokość</w:t>
      </w:r>
      <w:r w:rsidR="00B66DCA">
        <w:t xml:space="preserve"> zostanie dobrana na etapie projektu po uwzględnieniu obszaru oświetlenia oraz wysokości połaci dachowych – 4szt.;</w:t>
      </w:r>
    </w:p>
    <w:p w:rsidR="00B66DCA" w:rsidRDefault="00B66DCA">
      <w:pPr>
        <w:numPr>
          <w:ilvl w:val="2"/>
          <w:numId w:val="1"/>
        </w:numPr>
        <w:ind w:right="14" w:hanging="712"/>
      </w:pPr>
      <w:r>
        <w:t xml:space="preserve">Wysokość kalenicy </w:t>
      </w:r>
      <w:r w:rsidR="00C6685F">
        <w:t xml:space="preserve">dachów </w:t>
      </w:r>
      <w:r>
        <w:t>oświetlanych budynków 6,75m n.p.t.</w:t>
      </w:r>
    </w:p>
    <w:p w:rsidR="00C56DD0" w:rsidRDefault="0032256D">
      <w:pPr>
        <w:numPr>
          <w:ilvl w:val="2"/>
          <w:numId w:val="1"/>
        </w:numPr>
        <w:ind w:right="14" w:hanging="712"/>
      </w:pPr>
      <w:r>
        <w:t xml:space="preserve"> </w:t>
      </w:r>
      <w:r w:rsidR="00B66DCA">
        <w:t>Proponowany przebieg linii kablowej zgodnie z załącznikiem graficznym</w:t>
      </w:r>
      <w:r w:rsidR="00F83042">
        <w:t>.</w:t>
      </w:r>
    </w:p>
    <w:p w:rsidR="00C56DD0" w:rsidRDefault="00573302">
      <w:pPr>
        <w:numPr>
          <w:ilvl w:val="0"/>
          <w:numId w:val="4"/>
        </w:numPr>
        <w:spacing w:after="102" w:line="259" w:lineRule="auto"/>
        <w:ind w:left="360" w:right="0" w:hanging="353"/>
        <w:jc w:val="left"/>
      </w:pPr>
      <w:r>
        <w:rPr>
          <w:sz w:val="30"/>
        </w:rPr>
        <w:t>Charakterystyka obiektu.</w:t>
      </w:r>
    </w:p>
    <w:p w:rsidR="00497168" w:rsidRDefault="00573302">
      <w:pPr>
        <w:ind w:left="14" w:right="14"/>
      </w:pPr>
      <w:r>
        <w:t xml:space="preserve">Budynek nr 10 </w:t>
      </w:r>
      <w:r w:rsidR="00F83042">
        <w:t>o</w:t>
      </w:r>
      <w:r>
        <w:t xml:space="preserve"> powierzchni zabudowy 1138 m</w:t>
      </w:r>
      <w:r>
        <w:rPr>
          <w:vertAlign w:val="superscript"/>
        </w:rPr>
        <w:t xml:space="preserve">2 </w:t>
      </w:r>
      <w:r>
        <w:t xml:space="preserve"> </w:t>
      </w:r>
      <w:r w:rsidR="00497168">
        <w:t>,</w:t>
      </w:r>
    </w:p>
    <w:p w:rsidR="00497168" w:rsidRDefault="00497168">
      <w:pPr>
        <w:ind w:left="14" w:right="14"/>
        <w:rPr>
          <w:vertAlign w:val="superscript"/>
        </w:rPr>
      </w:pPr>
      <w:r>
        <w:t>Budynek nr 12 o powierzchni zabudowy 975 m</w:t>
      </w:r>
      <w:r>
        <w:rPr>
          <w:vertAlign w:val="superscript"/>
        </w:rPr>
        <w:t>2</w:t>
      </w:r>
    </w:p>
    <w:p w:rsidR="00497168" w:rsidRDefault="00497168" w:rsidP="00497168">
      <w:pPr>
        <w:ind w:left="14" w:right="14" w:firstLine="0"/>
        <w:rPr>
          <w:vertAlign w:val="superscript"/>
        </w:rPr>
      </w:pPr>
      <w:r>
        <w:t>Budynek 12a o powierzchni zabudowy 181</w:t>
      </w:r>
      <w:r w:rsidRPr="00497168">
        <w:t xml:space="preserve"> m</w:t>
      </w:r>
      <w:r w:rsidRPr="00497168">
        <w:rPr>
          <w:vertAlign w:val="superscript"/>
        </w:rPr>
        <w:t>2</w:t>
      </w:r>
      <w:r>
        <w:rPr>
          <w:vertAlign w:val="superscript"/>
        </w:rPr>
        <w:t>.</w:t>
      </w:r>
    </w:p>
    <w:p w:rsidR="00C56DD0" w:rsidRDefault="00497168" w:rsidP="00497168">
      <w:pPr>
        <w:ind w:left="14" w:right="14" w:firstLine="0"/>
      </w:pPr>
      <w:r w:rsidRPr="00497168">
        <w:t xml:space="preserve">Wszystkie </w:t>
      </w:r>
      <w:r>
        <w:t>b</w:t>
      </w:r>
      <w:r w:rsidR="00573302" w:rsidRPr="00497168">
        <w:t>udyn</w:t>
      </w:r>
      <w:r>
        <w:t>ki są</w:t>
      </w:r>
      <w:r w:rsidR="00573302">
        <w:t xml:space="preserve"> parterow</w:t>
      </w:r>
      <w:r>
        <w:t>e,</w:t>
      </w:r>
      <w:r w:rsidR="00573302">
        <w:t xml:space="preserve"> niepodpiwniczon</w:t>
      </w:r>
      <w:r>
        <w:t>e</w:t>
      </w:r>
      <w:r w:rsidR="00573302">
        <w:t xml:space="preserve"> z dach</w:t>
      </w:r>
      <w:r>
        <w:t>ami</w:t>
      </w:r>
      <w:r w:rsidR="00573302">
        <w:t xml:space="preserve"> dwuspadowym</w:t>
      </w:r>
      <w:r>
        <w:t>i</w:t>
      </w:r>
      <w:r w:rsidR="00573302">
        <w:t xml:space="preserve"> o konstrukcji drewnianej kryt</w:t>
      </w:r>
      <w:r w:rsidR="00C6685F">
        <w:t>e</w:t>
      </w:r>
      <w:r w:rsidR="00573302">
        <w:t xml:space="preserve"> blachodachówką.</w:t>
      </w:r>
      <w:r>
        <w:t xml:space="preserve"> </w:t>
      </w:r>
    </w:p>
    <w:p w:rsidR="00F83042" w:rsidRPr="00497168" w:rsidRDefault="00497168" w:rsidP="00497168">
      <w:pPr>
        <w:spacing w:after="459"/>
        <w:ind w:left="14" w:right="14"/>
        <w:jc w:val="left"/>
      </w:pPr>
      <w:r>
        <w:t>Maksymalna wysokość kalenicy dachów wynosi 6,75m n.p.t.</w:t>
      </w:r>
    </w:p>
    <w:p w:rsidR="00C56DD0" w:rsidRDefault="00573302">
      <w:pPr>
        <w:numPr>
          <w:ilvl w:val="0"/>
          <w:numId w:val="4"/>
        </w:numPr>
        <w:spacing w:after="210" w:line="259" w:lineRule="auto"/>
        <w:ind w:left="360" w:right="0" w:hanging="353"/>
        <w:jc w:val="left"/>
      </w:pPr>
      <w:r>
        <w:rPr>
          <w:sz w:val="30"/>
        </w:rPr>
        <w:t>Aktualne uwarunkowania wykonania przedmiotu zamówienia.</w:t>
      </w:r>
    </w:p>
    <w:p w:rsidR="00C56DD0" w:rsidRPr="008306AB" w:rsidRDefault="00573302">
      <w:pPr>
        <w:spacing w:after="0" w:line="235" w:lineRule="auto"/>
        <w:ind w:left="0" w:right="0" w:firstLine="7"/>
        <w:jc w:val="left"/>
        <w:rPr>
          <w:szCs w:val="24"/>
        </w:rPr>
      </w:pPr>
      <w:r w:rsidRPr="008306AB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2955898</wp:posOffset>
            </wp:positionH>
            <wp:positionV relativeFrom="page">
              <wp:posOffset>813159</wp:posOffset>
            </wp:positionV>
            <wp:extent cx="9137" cy="22842"/>
            <wp:effectExtent l="0" t="0" r="0" b="0"/>
            <wp:wrapTopAndBottom/>
            <wp:docPr id="5118" name="Picture 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" name="Picture 51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6AB">
        <w:rPr>
          <w:szCs w:val="24"/>
        </w:rPr>
        <w:t>Budynki nr 10</w:t>
      </w:r>
      <w:r w:rsidR="00C6685F" w:rsidRPr="008306AB">
        <w:rPr>
          <w:szCs w:val="24"/>
        </w:rPr>
        <w:t>,</w:t>
      </w:r>
      <w:r w:rsidRPr="008306AB">
        <w:rPr>
          <w:szCs w:val="24"/>
        </w:rPr>
        <w:t xml:space="preserve"> 12</w:t>
      </w:r>
      <w:r w:rsidR="00C6685F" w:rsidRPr="008306AB">
        <w:rPr>
          <w:szCs w:val="24"/>
        </w:rPr>
        <w:t xml:space="preserve"> i 12a</w:t>
      </w:r>
      <w:r w:rsidRPr="008306AB">
        <w:rPr>
          <w:szCs w:val="24"/>
        </w:rPr>
        <w:t xml:space="preserve"> Strzeżonego Ośrodka dla Cudzoziemców są wpisane do rejestru zabytków i znajdują się na terenie ochrony konserwatorskiej.</w:t>
      </w:r>
    </w:p>
    <w:p w:rsidR="00C56DD0" w:rsidRPr="008306AB" w:rsidRDefault="00573302">
      <w:pPr>
        <w:spacing w:after="272"/>
        <w:ind w:left="14" w:right="14"/>
        <w:rPr>
          <w:szCs w:val="24"/>
        </w:rPr>
      </w:pPr>
      <w:r w:rsidRPr="008306AB">
        <w:rPr>
          <w:szCs w:val="24"/>
        </w:rPr>
        <w:t>Prace budowlane związane z wykonani</w:t>
      </w:r>
      <w:r w:rsidR="00497168" w:rsidRPr="008306AB">
        <w:rPr>
          <w:szCs w:val="24"/>
        </w:rPr>
        <w:t>em instalacji, zgodnie z treścią</w:t>
      </w:r>
      <w:r w:rsidRPr="008306AB">
        <w:rPr>
          <w:szCs w:val="24"/>
        </w:rPr>
        <w:t xml:space="preserve"> art 29 ust. </w:t>
      </w:r>
      <w:r w:rsidR="00404EFD" w:rsidRPr="008306AB">
        <w:rPr>
          <w:szCs w:val="24"/>
        </w:rPr>
        <w:t>7</w:t>
      </w:r>
      <w:r w:rsidRPr="008306AB">
        <w:rPr>
          <w:szCs w:val="24"/>
        </w:rPr>
        <w:t xml:space="preserve"> Ustawy Prawo Budowlane, wymagają wcześniejszego </w:t>
      </w:r>
      <w:r w:rsidR="00497168" w:rsidRPr="008306AB">
        <w:rPr>
          <w:szCs w:val="24"/>
        </w:rPr>
        <w:t>zgłoszenia robót</w:t>
      </w:r>
      <w:r w:rsidRPr="008306AB">
        <w:rPr>
          <w:szCs w:val="24"/>
        </w:rPr>
        <w:t xml:space="preserve"> oraz </w:t>
      </w:r>
      <w:r w:rsidR="00497168" w:rsidRPr="008306AB">
        <w:rPr>
          <w:szCs w:val="24"/>
        </w:rPr>
        <w:t xml:space="preserve">uzgodnienia i uzyskania </w:t>
      </w:r>
      <w:r w:rsidRPr="008306AB">
        <w:rPr>
          <w:szCs w:val="24"/>
        </w:rPr>
        <w:t>pozwolenia wojewódzkiego konserwatora zabytków.</w:t>
      </w:r>
    </w:p>
    <w:p w:rsidR="00C56DD0" w:rsidRDefault="00573302">
      <w:pPr>
        <w:numPr>
          <w:ilvl w:val="0"/>
          <w:numId w:val="4"/>
        </w:numPr>
        <w:spacing w:after="70" w:line="259" w:lineRule="auto"/>
        <w:ind w:left="360" w:right="0" w:hanging="353"/>
        <w:jc w:val="left"/>
      </w:pPr>
      <w:r>
        <w:rPr>
          <w:sz w:val="30"/>
        </w:rPr>
        <w:t>Ogólne właściwości funkcjonalno-użytkowe.</w:t>
      </w:r>
    </w:p>
    <w:p w:rsidR="00C56DD0" w:rsidRDefault="00573302">
      <w:pPr>
        <w:spacing w:after="323"/>
        <w:ind w:left="14" w:right="14"/>
      </w:pPr>
      <w:r>
        <w:t>Projektowan</w:t>
      </w:r>
      <w:r w:rsidR="00404EFD">
        <w:t>a</w:t>
      </w:r>
      <w:r>
        <w:t xml:space="preserve"> instalacj</w:t>
      </w:r>
      <w:r w:rsidR="00404EFD">
        <w:t>a</w:t>
      </w:r>
      <w:r>
        <w:t xml:space="preserve"> </w:t>
      </w:r>
      <w:r w:rsidR="00404EFD">
        <w:t>oświetlenia zewnętrznego</w:t>
      </w:r>
      <w:r>
        <w:t xml:space="preserve"> </w:t>
      </w:r>
      <w:r w:rsidR="00F85FAE">
        <w:t xml:space="preserve">na słupach posadowionych pomiędzy budynkami nr </w:t>
      </w:r>
      <w:r>
        <w:t>10,12</w:t>
      </w:r>
      <w:r w:rsidR="00F85FAE">
        <w:t>, 12a</w:t>
      </w:r>
      <w:r>
        <w:t xml:space="preserve"> </w:t>
      </w:r>
      <w:proofErr w:type="spellStart"/>
      <w:r>
        <w:t>SOdC</w:t>
      </w:r>
      <w:proofErr w:type="spellEnd"/>
      <w:r>
        <w:t xml:space="preserve"> powinna </w:t>
      </w:r>
      <w:r w:rsidR="00F85FAE">
        <w:t>zapewnić doświetlenie połaci dachowych budynków 10, 12, 12a oraz teren</w:t>
      </w:r>
      <w:r w:rsidR="008306AB">
        <w:t>u</w:t>
      </w:r>
      <w:r w:rsidR="00F85FAE">
        <w:t xml:space="preserve"> pomiędzy tymi budynkami</w:t>
      </w:r>
      <w:r>
        <w:t>.</w:t>
      </w:r>
    </w:p>
    <w:p w:rsidR="00C56DD0" w:rsidRDefault="00573302">
      <w:pPr>
        <w:numPr>
          <w:ilvl w:val="0"/>
          <w:numId w:val="4"/>
        </w:numPr>
        <w:spacing w:after="230" w:line="259" w:lineRule="auto"/>
        <w:ind w:left="360" w:right="0" w:hanging="353"/>
        <w:jc w:val="left"/>
      </w:pPr>
      <w:r>
        <w:rPr>
          <w:sz w:val="30"/>
        </w:rPr>
        <w:t>Zakres prac projektowych i wykonawczych.</w:t>
      </w:r>
    </w:p>
    <w:p w:rsidR="00C56DD0" w:rsidRDefault="00573302">
      <w:pPr>
        <w:ind w:left="352" w:right="14" w:hanging="338"/>
      </w:pPr>
      <w:r>
        <w:t>l. Wykonawca w ramach realizacji przedmiotu zamówienia, wykona dokumentację projektową dla ww. robót składającą się z:</w:t>
      </w:r>
    </w:p>
    <w:p w:rsidR="00C56DD0" w:rsidRDefault="00573302">
      <w:pPr>
        <w:numPr>
          <w:ilvl w:val="0"/>
          <w:numId w:val="5"/>
        </w:numPr>
        <w:ind w:left="738" w:right="14" w:hanging="367"/>
      </w:pPr>
      <w:r>
        <w:t>projektu budowlanego w zakresie uwzględniającym specyfikę robót budowlanych</w:t>
      </w:r>
      <w:r w:rsidR="00C6685F">
        <w:t xml:space="preserve"> </w:t>
      </w:r>
      <w:r w:rsidR="006403BB">
        <w:t xml:space="preserve">wraz z </w:t>
      </w:r>
      <w:r>
        <w:t xml:space="preserve"> </w:t>
      </w:r>
      <w:r w:rsidR="006403BB">
        <w:t xml:space="preserve">informacją dotyczącą planu bezpieczeństwa i ochrony zdrowia </w:t>
      </w:r>
      <w:r>
        <w:t xml:space="preserve">- </w:t>
      </w:r>
      <w:r w:rsidR="008306AB">
        <w:t>5</w:t>
      </w:r>
      <w:r>
        <w:t xml:space="preserve"> egz. w formie drukowanej,</w:t>
      </w:r>
    </w:p>
    <w:p w:rsidR="00C56DD0" w:rsidRDefault="00573302" w:rsidP="006403BB">
      <w:pPr>
        <w:numPr>
          <w:ilvl w:val="0"/>
          <w:numId w:val="5"/>
        </w:numPr>
        <w:ind w:left="738" w:right="14" w:hanging="367"/>
      </w:pPr>
      <w:r>
        <w:t xml:space="preserve">projektu wykonawczego stanowiących podstawę wykonania robót budowlanych, instalacyjnych i technologicznych </w:t>
      </w:r>
      <w:r w:rsidR="00F85FAE">
        <w:t xml:space="preserve">wraz ze specyfikacją techniczną warunków wykonania i odbioru robót </w:t>
      </w:r>
      <w:r>
        <w:t xml:space="preserve">- </w:t>
      </w:r>
      <w:r w:rsidR="00F85FAE">
        <w:t>2</w:t>
      </w:r>
      <w:r>
        <w:t xml:space="preserve"> egz. w formie drukowanej,</w:t>
      </w:r>
    </w:p>
    <w:p w:rsidR="00C56DD0" w:rsidRDefault="00573302" w:rsidP="00D406E6">
      <w:pPr>
        <w:numPr>
          <w:ilvl w:val="0"/>
          <w:numId w:val="5"/>
        </w:numPr>
        <w:ind w:left="738" w:right="14" w:hanging="367"/>
      </w:pPr>
      <w:r>
        <w:t>wymaganych opini</w:t>
      </w:r>
      <w:r w:rsidR="00D406E6">
        <w:t xml:space="preserve">i i uzgodnień w szczególności z </w:t>
      </w:r>
      <w:r w:rsidR="006403BB">
        <w:t>W</w:t>
      </w:r>
      <w:r w:rsidR="00850A70">
        <w:t>ojewódzkim Konserwatorem Zabytkó</w:t>
      </w:r>
      <w:r w:rsidR="006403BB">
        <w:t>w</w:t>
      </w:r>
    </w:p>
    <w:p w:rsidR="00C56DD0" w:rsidRDefault="00573302">
      <w:pPr>
        <w:ind w:left="14" w:right="14"/>
      </w:pPr>
      <w:r>
        <w:t>Przy realizacji przedmiotu zamówienia należy ściśle przestrzegać nw. przepisów:</w:t>
      </w:r>
    </w:p>
    <w:p w:rsidR="00C56DD0" w:rsidRDefault="00573302">
      <w:pPr>
        <w:numPr>
          <w:ilvl w:val="1"/>
          <w:numId w:val="5"/>
        </w:numPr>
        <w:ind w:left="1487" w:right="14" w:hanging="396"/>
      </w:pPr>
      <w:r>
        <w:t>Rozporządzenia Ministra Infrastruktury z dnia 2 września 2004r. w sprawie szczegółowego zakresu i formy dokumentacji projektowej, specyfikacji technicznych wykonania i odbioru robót budowlanych oraz programu funkcjonalno-użytkowego (Dz. U. 2013, poz. 1129 z późniejszymi zmianami);</w:t>
      </w:r>
    </w:p>
    <w:p w:rsidR="00C56DD0" w:rsidRDefault="00573302">
      <w:pPr>
        <w:numPr>
          <w:ilvl w:val="1"/>
          <w:numId w:val="5"/>
        </w:numPr>
        <w:ind w:left="1487" w:right="14" w:hanging="396"/>
      </w:pPr>
      <w:r>
        <w:t>Ustawy z dnia 7 lipca 1994 r. - Prawo budowlane (Dz. U. z 2019r., poz. 1186 z późn. zm.);</w:t>
      </w:r>
    </w:p>
    <w:p w:rsidR="00C56DD0" w:rsidRDefault="00573302">
      <w:pPr>
        <w:numPr>
          <w:ilvl w:val="1"/>
          <w:numId w:val="5"/>
        </w:numPr>
        <w:ind w:left="1487" w:right="14" w:hanging="396"/>
      </w:pPr>
      <w:r>
        <w:lastRenderedPageBreak/>
        <w:t>Rozporządzenia Ministra Infrastruktury z dnia 12 kwietnia 2002r. - w sprawie warunków technicznych, jakim powinny odpowiadać budynki i ich usytuowanie (Dz. U. 2019 poz. 1065 z późniejszymi zmianami);</w:t>
      </w:r>
    </w:p>
    <w:p w:rsidR="00C56DD0" w:rsidRDefault="00573302">
      <w:pPr>
        <w:numPr>
          <w:ilvl w:val="1"/>
          <w:numId w:val="5"/>
        </w:numPr>
        <w:spacing w:after="25" w:line="240" w:lineRule="auto"/>
        <w:ind w:left="1487" w:right="14" w:hanging="396"/>
      </w:pPr>
      <w:r>
        <w:t>Rozporządzenia Ministra Transportu, Budo</w:t>
      </w:r>
      <w:r w:rsidR="00C6685F">
        <w:t>wnictwa i Gospodarki Morskiej z </w:t>
      </w:r>
      <w:r>
        <w:t>dnia 25 kwietnia 2012r. — w sprawie szczegółowego zakresu i formy projektu budowlanego (Dz. U. 2018 poz. 1935);</w:t>
      </w:r>
    </w:p>
    <w:p w:rsidR="00C56DD0" w:rsidRDefault="00573302" w:rsidP="006403BB">
      <w:pPr>
        <w:ind w:left="1418" w:right="14" w:hanging="425"/>
      </w:pP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403BB">
        <w:tab/>
      </w:r>
      <w:r>
        <w:t>Rozporządzenia Ministra Infrastruktury z dnia 23 czerwca 2003r. — w sprawie informacji dotyczącej bezpieczeństwa i ochrony zdrowia oraz planu bezpieczeństwa i ochrony zdrowia (Dz. U. Nr 120 poz. 1126);</w:t>
      </w:r>
    </w:p>
    <w:p w:rsidR="00C56DD0" w:rsidRDefault="00632DD7" w:rsidP="006403BB">
      <w:pPr>
        <w:ind w:left="1418" w:right="14" w:hanging="425"/>
      </w:pPr>
      <w:r>
        <w:pict>
          <v:shape id="_x0000_i1026" type="#_x0000_t75" style="width:3.15pt;height:1.25pt;visibility:visible;mso-wrap-style:square">
            <v:imagedata r:id="rId9" o:title=""/>
          </v:shape>
        </w:pict>
      </w:r>
      <w:r w:rsidR="00573302">
        <w:t xml:space="preserve"> </w:t>
      </w:r>
      <w:r w:rsidR="006403BB">
        <w:tab/>
      </w:r>
      <w:r w:rsidR="00573302">
        <w:t xml:space="preserve">Ustawy z dnia 16 kwietnia 2004r. — o wyrobach budowlanych (Dz. U. 2020 poz. 215); </w:t>
      </w:r>
      <w:r w:rsidR="00573302">
        <w:rPr>
          <w:noProof/>
        </w:rPr>
        <w:drawing>
          <wp:inline distT="0" distB="0" distL="0" distR="0">
            <wp:extent cx="41118" cy="13705"/>
            <wp:effectExtent l="0" t="0" r="0" b="0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02">
        <w:t xml:space="preserve"> Ustawy z dnia 15 grudnia 2000r. o samorządach zawodowych architektów, inżynierów budownictwa oraz urbanistów (Dz. U. 2019 poz. 1 1 17);</w:t>
      </w:r>
    </w:p>
    <w:p w:rsidR="00094B59" w:rsidRPr="00B60355" w:rsidRDefault="00094B59" w:rsidP="00094B59">
      <w:pPr>
        <w:ind w:left="1418" w:right="14" w:hanging="567"/>
        <w:rPr>
          <w:color w:val="000000" w:themeColor="text1"/>
        </w:rPr>
      </w:pPr>
      <w:r w:rsidRPr="00B60355">
        <w:rPr>
          <w:color w:val="000000" w:themeColor="text1"/>
        </w:rPr>
        <w:t xml:space="preserve">-    Ustawę z dnia 11 września 2019 r. Prawo zamówień publicznych (Dz. U. </w:t>
      </w:r>
      <w:r w:rsidRPr="00B60355">
        <w:rPr>
          <w:color w:val="000000" w:themeColor="text1"/>
        </w:rPr>
        <w:br/>
        <w:t>z 2019 r., poz. 2019 z późn. zm.)</w:t>
      </w:r>
    </w:p>
    <w:p w:rsidR="00C56DD0" w:rsidRDefault="00094B59" w:rsidP="00094B59">
      <w:pPr>
        <w:ind w:left="1418" w:right="14" w:hanging="567"/>
      </w:pPr>
      <w:r>
        <w:t xml:space="preserve">-       </w:t>
      </w:r>
      <w:r w:rsidR="00573302">
        <w:t>Ustawy z dnia 5 sierpnia 2010 r o ochronie informacji niejawnych (Dz.</w:t>
      </w:r>
      <w:r>
        <w:t xml:space="preserve"> </w:t>
      </w:r>
      <w:r w:rsidR="00573302">
        <w:t>U.</w:t>
      </w:r>
      <w:r>
        <w:t xml:space="preserve"> </w:t>
      </w:r>
      <w:r w:rsidR="00573302">
        <w:t xml:space="preserve">2019 </w:t>
      </w:r>
      <w:r>
        <w:t xml:space="preserve">  </w:t>
      </w:r>
      <w:r w:rsidR="00573302">
        <w:t>poz. 742 z późniejszymi zmianami);</w:t>
      </w:r>
    </w:p>
    <w:p w:rsidR="00C56DD0" w:rsidRDefault="00573302" w:rsidP="00F66D84">
      <w:pPr>
        <w:numPr>
          <w:ilvl w:val="1"/>
          <w:numId w:val="5"/>
        </w:numPr>
        <w:ind w:left="1487" w:right="14" w:hanging="396"/>
      </w:pPr>
      <w:r>
        <w:t>Ustawy z dnia 24 sierpnia 1991 r. o ochronie przeciwpożarowej (Dz. 2020</w:t>
      </w:r>
      <w:r w:rsidR="00094B59">
        <w:br/>
      </w:r>
      <w:r>
        <w:t xml:space="preserve"> poz. 961 z późniejszymi zmianami);</w:t>
      </w:r>
      <w:r w:rsidR="00094B59">
        <w:t xml:space="preserve"> R</w:t>
      </w:r>
      <w:r>
        <w:t>ozporządzenia Ministra Spraw Wewnętrznych i Administracji z dnia 2 czerwca 201</w:t>
      </w:r>
      <w:r w:rsidR="006403BB">
        <w:t>0</w:t>
      </w:r>
      <w:r>
        <w:t>r. w sprawie ochrony przeciwpożarowej budynków, innych obiektów budowlanych i terenów, (Dz.U.2010 nr. 109 poz. 719.);</w:t>
      </w:r>
    </w:p>
    <w:p w:rsidR="00C56DD0" w:rsidRDefault="00573302">
      <w:pPr>
        <w:numPr>
          <w:ilvl w:val="1"/>
          <w:numId w:val="5"/>
        </w:numPr>
        <w:ind w:left="1487" w:right="14" w:hanging="396"/>
      </w:pPr>
      <w:r>
        <w:t xml:space="preserve">Rozporządzenia Ministra Pracy i Polityki Socjalnej z dnia 28.08.2003 r. </w:t>
      </w:r>
      <w:r w:rsidR="00094B59">
        <w:br/>
      </w:r>
      <w:r>
        <w:t xml:space="preserve">w sprawie ogólnych przepisów bezpieczeństwa i higieny pracy, tekst jednolity (Dz. U nr 169, poz. 1650 z późn. zmianami);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9990" name="Picture 9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0" name="Picture 99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przepisów i wytycznych branżowych dotyczących budynków administracji publicznej, ochrony zabytków, przepisów BHP, p.poż., ochrony środowiska.</w:t>
      </w:r>
    </w:p>
    <w:p w:rsidR="00C56DD0" w:rsidRDefault="00573302" w:rsidP="00D406E6">
      <w:pPr>
        <w:spacing w:after="428"/>
        <w:ind w:left="367" w:right="14" w:hanging="353"/>
      </w:pPr>
      <w:r>
        <w:t>2. Zastosowane wyroby budowlane mają spełniać wymagania polskich przepisów prawnych</w:t>
      </w:r>
      <w:r w:rsidR="00094B59">
        <w:br/>
      </w:r>
      <w:r>
        <w:t xml:space="preserve"> i norm budowlanych oraz posiadać odpowiednie certyfikaty</w:t>
      </w:r>
      <w:r w:rsidR="006403BB">
        <w:t xml:space="preserve"> i</w:t>
      </w:r>
      <w:r>
        <w:t xml:space="preserve"> deklaracje techniczne.</w:t>
      </w:r>
    </w:p>
    <w:sectPr w:rsidR="00C56DD0" w:rsidSect="00B60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426" w:right="1475" w:bottom="1440" w:left="1389" w:header="67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9D" w:rsidRDefault="005F619D">
      <w:pPr>
        <w:spacing w:after="0" w:line="240" w:lineRule="auto"/>
      </w:pPr>
      <w:r>
        <w:separator/>
      </w:r>
    </w:p>
  </w:endnote>
  <w:endnote w:type="continuationSeparator" w:id="0">
    <w:p w:rsidR="005F619D" w:rsidRDefault="005F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5" w:rsidRDefault="00B60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5" w:rsidRDefault="00B60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5" w:rsidRDefault="00B60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9D" w:rsidRDefault="005F619D">
      <w:pPr>
        <w:spacing w:after="0" w:line="240" w:lineRule="auto"/>
      </w:pPr>
      <w:r>
        <w:separator/>
      </w:r>
    </w:p>
  </w:footnote>
  <w:footnote w:type="continuationSeparator" w:id="0">
    <w:p w:rsidR="005F619D" w:rsidRDefault="005F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0" w:rsidRDefault="00573302">
    <w:pPr>
      <w:tabs>
        <w:tab w:val="center" w:pos="2061"/>
        <w:tab w:val="center" w:pos="6616"/>
        <w:tab w:val="right" w:pos="9231"/>
      </w:tabs>
      <w:spacing w:after="0" w:line="259" w:lineRule="auto"/>
      <w:ind w:left="0" w:right="-194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UNIA </w:t>
    </w:r>
    <w:r>
      <w:rPr>
        <w:rFonts w:ascii="Calibri" w:eastAsia="Calibri" w:hAnsi="Calibri" w:cs="Calibri"/>
        <w:sz w:val="22"/>
      </w:rPr>
      <w:t>EUROPEJSKA</w:t>
    </w: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Bieszczadzki Oddział </w:t>
    </w:r>
    <w:r>
      <w:rPr>
        <w:sz w:val="22"/>
      </w:rPr>
      <w:t xml:space="preserve">Straży </w:t>
    </w:r>
    <w:r>
      <w:rPr>
        <w:sz w:val="20"/>
      </w:rPr>
      <w:t>Granicznej</w:t>
    </w:r>
    <w:r>
      <w:rPr>
        <w:sz w:val="20"/>
      </w:rPr>
      <w:tab/>
    </w:r>
    <w:r>
      <w:rPr>
        <w:rFonts w:ascii="Courier New" w:eastAsia="Courier New" w:hAnsi="Courier New" w:cs="Courier New"/>
        <w:sz w:val="18"/>
      </w:rPr>
      <w:t>IKI</w:t>
    </w:r>
  </w:p>
  <w:p w:rsidR="00C56DD0" w:rsidRDefault="00573302">
    <w:pPr>
      <w:spacing w:after="0" w:line="216" w:lineRule="auto"/>
      <w:ind w:left="1317" w:right="22" w:firstLine="0"/>
      <w:jc w:val="left"/>
    </w:pPr>
    <w:r>
      <w:rPr>
        <w:rFonts w:ascii="Calibri" w:eastAsia="Calibri" w:hAnsi="Calibri" w:cs="Calibri"/>
        <w:sz w:val="20"/>
      </w:rPr>
      <w:t>FUNDUSZ AZYLU,</w:t>
    </w:r>
    <w:r>
      <w:rPr>
        <w:rFonts w:ascii="Calibri" w:eastAsia="Calibri" w:hAnsi="Calibri" w:cs="Calibri"/>
        <w:sz w:val="20"/>
      </w:rPr>
      <w:tab/>
    </w:r>
    <w:r>
      <w:rPr>
        <w:sz w:val="22"/>
      </w:rPr>
      <w:t xml:space="preserve">ul. </w:t>
    </w:r>
    <w:r>
      <w:rPr>
        <w:sz w:val="20"/>
      </w:rPr>
      <w:t xml:space="preserve">Mickiewicza </w:t>
    </w:r>
    <w:r>
      <w:rPr>
        <w:sz w:val="22"/>
      </w:rPr>
      <w:t xml:space="preserve">34 </w:t>
    </w:r>
    <w:r>
      <w:rPr>
        <w:rFonts w:ascii="Calibri" w:eastAsia="Calibri" w:hAnsi="Calibri" w:cs="Calibri"/>
        <w:sz w:val="20"/>
      </w:rPr>
      <w:t xml:space="preserve">IMIGRACJI </w:t>
    </w:r>
    <w:r>
      <w:rPr>
        <w:rFonts w:ascii="Calibri" w:eastAsia="Calibri" w:hAnsi="Calibri" w:cs="Calibri"/>
        <w:sz w:val="36"/>
      </w:rPr>
      <w:t xml:space="preserve">I </w:t>
    </w:r>
    <w:r>
      <w:rPr>
        <w:rFonts w:ascii="Calibri" w:eastAsia="Calibri" w:hAnsi="Calibri" w:cs="Calibri"/>
        <w:sz w:val="20"/>
      </w:rPr>
      <w:t>INTEGRACJI</w:t>
    </w:r>
    <w:r>
      <w:rPr>
        <w:rFonts w:ascii="Calibri" w:eastAsia="Calibri" w:hAnsi="Calibri" w:cs="Calibri"/>
        <w:sz w:val="20"/>
      </w:rPr>
      <w:tab/>
    </w:r>
    <w:r>
      <w:rPr>
        <w:sz w:val="22"/>
      </w:rPr>
      <w:t xml:space="preserve">37-700 </w:t>
    </w:r>
    <w:r>
      <w:rPr>
        <w:sz w:val="20"/>
      </w:rPr>
      <w:t>Przemyśl</w:t>
    </w:r>
  </w:p>
  <w:p w:rsidR="00C56DD0" w:rsidRDefault="00573302">
    <w:pPr>
      <w:spacing w:after="22" w:line="216" w:lineRule="auto"/>
      <w:ind w:left="1029" w:right="799" w:firstLine="0"/>
      <w:jc w:val="right"/>
    </w:pPr>
    <w:r>
      <w:rPr>
        <w:rFonts w:ascii="Calibri" w:eastAsia="Calibri" w:hAnsi="Calibri" w:cs="Calibri"/>
        <w:sz w:val="20"/>
      </w:rPr>
      <w:t>„BEZPIECZNA PRZYSTAŃ"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2"/>
      </w:rPr>
      <w:t xml:space="preserve">tel. </w:t>
    </w:r>
    <w:r>
      <w:rPr>
        <w:rFonts w:ascii="Calibri" w:eastAsia="Calibri" w:hAnsi="Calibri" w:cs="Calibri"/>
        <w:sz w:val="20"/>
      </w:rPr>
      <w:t xml:space="preserve">(+48 16) </w:t>
    </w:r>
    <w:r>
      <w:rPr>
        <w:rFonts w:ascii="Calibri" w:eastAsia="Calibri" w:hAnsi="Calibri" w:cs="Calibri"/>
        <w:sz w:val="22"/>
      </w:rPr>
      <w:t xml:space="preserve">673 20 91 </w:t>
    </w:r>
    <w:r>
      <w:rPr>
        <w:sz w:val="20"/>
      </w:rPr>
      <w:t xml:space="preserve">fax. (+48 16) </w:t>
    </w:r>
    <w:r>
      <w:rPr>
        <w:sz w:val="22"/>
      </w:rPr>
      <w:t>673 27 25</w:t>
    </w:r>
  </w:p>
  <w:p w:rsidR="00C56DD0" w:rsidRDefault="00573302">
    <w:pPr>
      <w:spacing w:after="0" w:line="259" w:lineRule="auto"/>
      <w:ind w:left="0" w:right="374" w:firstLine="0"/>
      <w:jc w:val="right"/>
    </w:pPr>
    <w:r>
      <w:rPr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9" w:type="dxa"/>
      <w:tblLayout w:type="fixed"/>
      <w:tblLook w:val="00A0" w:firstRow="1" w:lastRow="0" w:firstColumn="1" w:lastColumn="0" w:noHBand="0" w:noVBand="0"/>
    </w:tblPr>
    <w:tblGrid>
      <w:gridCol w:w="3119"/>
      <w:gridCol w:w="1134"/>
      <w:gridCol w:w="285"/>
      <w:gridCol w:w="2941"/>
      <w:gridCol w:w="1970"/>
    </w:tblGrid>
    <w:tr w:rsidR="00D406E6" w:rsidRPr="00B773EF" w:rsidTr="00A415DE">
      <w:trPr>
        <w:trHeight w:val="906"/>
      </w:trPr>
      <w:tc>
        <w:tcPr>
          <w:tcW w:w="3119" w:type="dxa"/>
          <w:vAlign w:val="center"/>
        </w:tcPr>
        <w:p w:rsidR="00D406E6" w:rsidRPr="00B773EF" w:rsidRDefault="00D406E6" w:rsidP="00D406E6">
          <w:pPr>
            <w:ind w:left="0" w:firstLine="0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D406E6" w:rsidRPr="00B773EF" w:rsidRDefault="00D406E6" w:rsidP="00D406E6">
          <w:pPr>
            <w:jc w:val="right"/>
            <w:rPr>
              <w:noProof/>
              <w:sz w:val="22"/>
            </w:rPr>
          </w:pPr>
        </w:p>
      </w:tc>
      <w:tc>
        <w:tcPr>
          <w:tcW w:w="285" w:type="dxa"/>
        </w:tcPr>
        <w:p w:rsidR="00D406E6" w:rsidRPr="00B773EF" w:rsidRDefault="00D406E6" w:rsidP="00D406E6">
          <w:pPr>
            <w:tabs>
              <w:tab w:val="left" w:pos="2408"/>
            </w:tabs>
            <w:jc w:val="center"/>
            <w:rPr>
              <w:sz w:val="18"/>
              <w:szCs w:val="16"/>
            </w:rPr>
          </w:pPr>
        </w:p>
      </w:tc>
      <w:tc>
        <w:tcPr>
          <w:tcW w:w="2941" w:type="dxa"/>
          <w:vAlign w:val="center"/>
        </w:tcPr>
        <w:p w:rsidR="00D406E6" w:rsidRPr="00B773EF" w:rsidRDefault="00D406E6" w:rsidP="00D406E6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1970" w:type="dxa"/>
          <w:vAlign w:val="center"/>
        </w:tcPr>
        <w:p w:rsidR="00D406E6" w:rsidRPr="00B773EF" w:rsidRDefault="00D406E6" w:rsidP="00D406E6">
          <w:pPr>
            <w:ind w:left="253"/>
            <w:jc w:val="right"/>
            <w:rPr>
              <w:noProof/>
              <w:sz w:val="22"/>
            </w:rPr>
          </w:pPr>
        </w:p>
      </w:tc>
    </w:tr>
  </w:tbl>
  <w:p w:rsidR="00C56DD0" w:rsidRPr="00D406E6" w:rsidRDefault="00D406E6" w:rsidP="00B60355">
    <w:pPr>
      <w:tabs>
        <w:tab w:val="left" w:pos="3675"/>
      </w:tabs>
      <w:ind w:left="0" w:firstLine="0"/>
      <w:jc w:val="left"/>
      <w:rPr>
        <w:u w:val="single"/>
      </w:rPr>
    </w:pPr>
    <w:r w:rsidRPr="00D406E6">
      <w:rPr>
        <w:rFonts w:ascii="Bookman Old Style" w:eastAsia="Calibri" w:hAnsi="Bookman Old Style" w:cs="Bookman Old Style"/>
        <w:b/>
        <w:sz w:val="16"/>
        <w:u w:val="single"/>
        <w:lang w:val="en-US"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9" w:type="dxa"/>
      <w:tblLayout w:type="fixed"/>
      <w:tblLook w:val="00A0" w:firstRow="1" w:lastRow="0" w:firstColumn="1" w:lastColumn="0" w:noHBand="0" w:noVBand="0"/>
    </w:tblPr>
    <w:tblGrid>
      <w:gridCol w:w="3119"/>
      <w:gridCol w:w="1134"/>
      <w:gridCol w:w="285"/>
      <w:gridCol w:w="2941"/>
      <w:gridCol w:w="1970"/>
    </w:tblGrid>
    <w:tr w:rsidR="00B60355" w:rsidRPr="00B773EF" w:rsidTr="00010F79">
      <w:trPr>
        <w:trHeight w:val="906"/>
      </w:trPr>
      <w:tc>
        <w:tcPr>
          <w:tcW w:w="3119" w:type="dxa"/>
          <w:vAlign w:val="center"/>
        </w:tcPr>
        <w:p w:rsidR="00B60355" w:rsidRPr="00B773EF" w:rsidRDefault="00B60355" w:rsidP="00B60355">
          <w:pPr>
            <w:ind w:left="0" w:firstLine="0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B60355" w:rsidRPr="00B773EF" w:rsidRDefault="00B60355" w:rsidP="00B60355">
          <w:pPr>
            <w:jc w:val="right"/>
            <w:rPr>
              <w:noProof/>
              <w:sz w:val="22"/>
            </w:rPr>
          </w:pPr>
        </w:p>
      </w:tc>
      <w:tc>
        <w:tcPr>
          <w:tcW w:w="285" w:type="dxa"/>
        </w:tcPr>
        <w:p w:rsidR="00B60355" w:rsidRPr="00B773EF" w:rsidRDefault="00B60355" w:rsidP="00B60355">
          <w:pPr>
            <w:tabs>
              <w:tab w:val="left" w:pos="2408"/>
            </w:tabs>
            <w:jc w:val="center"/>
            <w:rPr>
              <w:sz w:val="18"/>
              <w:szCs w:val="16"/>
            </w:rPr>
          </w:pPr>
        </w:p>
      </w:tc>
      <w:tc>
        <w:tcPr>
          <w:tcW w:w="2941" w:type="dxa"/>
          <w:vAlign w:val="center"/>
        </w:tcPr>
        <w:p w:rsidR="00B60355" w:rsidRPr="00B773EF" w:rsidRDefault="00B60355" w:rsidP="00B60355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1970" w:type="dxa"/>
          <w:vAlign w:val="center"/>
        </w:tcPr>
        <w:p w:rsidR="00B60355" w:rsidRPr="00B773EF" w:rsidRDefault="00B60355" w:rsidP="00B60355">
          <w:pPr>
            <w:ind w:left="253"/>
            <w:jc w:val="right"/>
            <w:rPr>
              <w:noProof/>
              <w:sz w:val="22"/>
            </w:rPr>
          </w:pPr>
        </w:p>
      </w:tc>
    </w:tr>
  </w:tbl>
  <w:p w:rsidR="00B60355" w:rsidRPr="0006168C" w:rsidRDefault="00B60355" w:rsidP="00B60355">
    <w:pPr>
      <w:tabs>
        <w:tab w:val="left" w:pos="3675"/>
      </w:tabs>
      <w:ind w:left="0" w:firstLine="0"/>
      <w:jc w:val="left"/>
      <w:rPr>
        <w:rFonts w:ascii="Arial" w:hAnsi="Arial" w:cs="Arial"/>
        <w:sz w:val="16"/>
        <w:szCs w:val="16"/>
      </w:rPr>
    </w:pPr>
    <w:r w:rsidRPr="0006168C">
      <w:rPr>
        <w:noProof/>
        <w:szCs w:val="24"/>
      </w:rPr>
      <w:drawing>
        <wp:anchor distT="0" distB="0" distL="114935" distR="114935" simplePos="0" relativeHeight="251665408" behindDoc="1" locked="0" layoutInCell="1" allowOverlap="1" wp14:anchorId="7B0BFA0C" wp14:editId="15848DDB">
          <wp:simplePos x="0" y="0"/>
          <wp:positionH relativeFrom="column">
            <wp:posOffset>5297170</wp:posOffset>
          </wp:positionH>
          <wp:positionV relativeFrom="paragraph">
            <wp:posOffset>-84455</wp:posOffset>
          </wp:positionV>
          <wp:extent cx="1051560" cy="1200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8C">
      <w:rPr>
        <w:noProof/>
        <w:szCs w:val="24"/>
      </w:rPr>
      <w:drawing>
        <wp:anchor distT="0" distB="0" distL="114300" distR="114300" simplePos="0" relativeHeight="251664384" behindDoc="0" locked="0" layoutInCell="1" allowOverlap="1" wp14:anchorId="1942C8D4" wp14:editId="321F1E52">
          <wp:simplePos x="0" y="0"/>
          <wp:positionH relativeFrom="column">
            <wp:posOffset>-40005</wp:posOffset>
          </wp:positionH>
          <wp:positionV relativeFrom="paragraph">
            <wp:posOffset>15875</wp:posOffset>
          </wp:positionV>
          <wp:extent cx="751205" cy="4737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8C">
      <w:rPr>
        <w:rFonts w:ascii="Arial" w:hAnsi="Arial" w:cs="Arial"/>
        <w:sz w:val="16"/>
        <w:szCs w:val="16"/>
      </w:rPr>
      <w:t>UNIA EUROPEJSKA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 xml:space="preserve">                                        Bieszczadzki</w:t>
    </w:r>
    <w:r w:rsidRPr="0006168C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>Oddział</w:t>
    </w:r>
    <w:r w:rsidRPr="0006168C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>Straży</w:t>
    </w:r>
    <w:r w:rsidRPr="0006168C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>Granicznej</w:t>
    </w:r>
  </w:p>
  <w:p w:rsidR="00B60355" w:rsidRPr="0006168C" w:rsidRDefault="00B60355" w:rsidP="00B60355">
    <w:pPr>
      <w:tabs>
        <w:tab w:val="left" w:pos="3675"/>
      </w:tabs>
      <w:jc w:val="left"/>
      <w:rPr>
        <w:rFonts w:ascii="Arial" w:hAnsi="Arial" w:cs="Arial"/>
        <w:sz w:val="16"/>
        <w:szCs w:val="16"/>
      </w:rPr>
    </w:pPr>
    <w:r w:rsidRPr="0006168C">
      <w:rPr>
        <w:rFonts w:ascii="Arial" w:hAnsi="Arial" w:cs="Arial"/>
        <w:sz w:val="16"/>
        <w:szCs w:val="16"/>
      </w:rPr>
      <w:t>FUNDUSZ AZYLU,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 xml:space="preserve">                                                                          ul.</w:t>
    </w:r>
    <w:r w:rsidRPr="0006168C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>Mickiewicza</w:t>
    </w:r>
    <w:r w:rsidRPr="0006168C">
      <w:rPr>
        <w:rFonts w:ascii="Bookman Old Style" w:eastAsia="Bookman Old Style" w:hAnsi="Bookman Old Style" w:cs="Bookman Old Style"/>
        <w:b/>
        <w:sz w:val="16"/>
        <w:lang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>34</w:t>
    </w:r>
  </w:p>
  <w:p w:rsidR="00B60355" w:rsidRPr="0006168C" w:rsidRDefault="00B60355" w:rsidP="00B60355">
    <w:pPr>
      <w:tabs>
        <w:tab w:val="left" w:pos="3675"/>
      </w:tabs>
      <w:jc w:val="left"/>
      <w:rPr>
        <w:rFonts w:ascii="Arial" w:hAnsi="Arial" w:cs="Arial"/>
        <w:sz w:val="16"/>
        <w:szCs w:val="16"/>
      </w:rPr>
    </w:pPr>
    <w:r w:rsidRPr="0006168C">
      <w:rPr>
        <w:rFonts w:ascii="Arial" w:hAnsi="Arial" w:cs="Arial"/>
        <w:sz w:val="16"/>
        <w:szCs w:val="16"/>
      </w:rPr>
      <w:t xml:space="preserve">MIGRACJI I INTEGRACJI                                                                                 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37-700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proofErr w:type="spellStart"/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Przemyśl</w:t>
    </w:r>
    <w:proofErr w:type="spellEnd"/>
  </w:p>
  <w:p w:rsidR="00B60355" w:rsidRPr="0006168C" w:rsidRDefault="00B60355" w:rsidP="00B60355">
    <w:pPr>
      <w:tabs>
        <w:tab w:val="center" w:pos="4253"/>
        <w:tab w:val="right" w:pos="9072"/>
      </w:tabs>
      <w:ind w:left="0" w:firstLine="0"/>
      <w:jc w:val="left"/>
      <w:rPr>
        <w:rFonts w:ascii="Bookman Old Style" w:eastAsia="Calibri" w:hAnsi="Bookman Old Style" w:cs="Bookman Old Style"/>
        <w:b/>
        <w:sz w:val="16"/>
        <w:lang w:eastAsia="ar-SA"/>
      </w:rPr>
    </w:pPr>
    <w:r w:rsidRPr="0006168C">
      <w:rPr>
        <w:rFonts w:ascii="Arial" w:hAnsi="Arial" w:cs="Arial"/>
        <w:sz w:val="16"/>
        <w:szCs w:val="16"/>
      </w:rPr>
      <w:t>„BEZPIECZNA PRZYSTAŃ”</w:t>
    </w:r>
    <w:r w:rsidRPr="0006168C">
      <w:rPr>
        <w:rFonts w:ascii="Bookman Old Style" w:eastAsia="Calibri" w:hAnsi="Bookman Old Style" w:cs="Bookman Old Style"/>
        <w:b/>
        <w:sz w:val="16"/>
        <w:lang w:eastAsia="ar-SA"/>
      </w:rPr>
      <w:t xml:space="preserve">                                                       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tel.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(+48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16) 673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20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91</w:t>
    </w:r>
  </w:p>
  <w:p w:rsidR="00B60355" w:rsidRPr="0006168C" w:rsidRDefault="00B60355" w:rsidP="00B60355">
    <w:pPr>
      <w:suppressAutoHyphens/>
      <w:ind w:left="0" w:firstLine="0"/>
      <w:rPr>
        <w:rFonts w:ascii="Bookman Old Style" w:eastAsia="Calibri" w:hAnsi="Bookman Old Style" w:cs="Bookman Old Style"/>
        <w:b/>
        <w:sz w:val="16"/>
        <w:lang w:eastAsia="ar-SA"/>
      </w:rPr>
    </w:pPr>
    <w:r w:rsidRPr="0006168C">
      <w:rPr>
        <w:rFonts w:ascii="Bookman Old Style" w:eastAsia="Calibri" w:hAnsi="Bookman Old Style" w:cs="Bookman Old Style"/>
        <w:b/>
        <w:sz w:val="16"/>
        <w:lang w:eastAsia="ar-SA"/>
      </w:rPr>
      <w:t xml:space="preserve">                                                                                             </w:t>
    </w:r>
    <w:r>
      <w:rPr>
        <w:rFonts w:ascii="Bookman Old Style" w:eastAsia="Calibri" w:hAnsi="Bookman Old Style" w:cs="Bookman Old Style"/>
        <w:b/>
        <w:sz w:val="16"/>
        <w:lang w:eastAsia="ar-SA"/>
      </w:rPr>
      <w:t xml:space="preserve">                      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fax.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(+48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16) 673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27</w:t>
    </w:r>
    <w:r w:rsidRPr="0006168C">
      <w:rPr>
        <w:rFonts w:ascii="Bookman Old Style" w:eastAsia="Bookman Old Style" w:hAnsi="Bookman Old Style" w:cs="Bookman Old Style"/>
        <w:b/>
        <w:sz w:val="16"/>
        <w:lang w:val="en-US" w:eastAsia="ar-SA"/>
      </w:rPr>
      <w:t xml:space="preserve"> 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>25</w:t>
    </w:r>
  </w:p>
  <w:p w:rsidR="00B60355" w:rsidRPr="0006168C" w:rsidRDefault="00B60355" w:rsidP="00B60355">
    <w:pPr>
      <w:suppressAutoHyphens/>
      <w:ind w:left="0" w:firstLine="0"/>
      <w:rPr>
        <w:rFonts w:ascii="Bookman Old Style" w:eastAsia="Calibri" w:hAnsi="Bookman Old Style" w:cs="Bookman Old Style"/>
        <w:b/>
        <w:sz w:val="16"/>
        <w:lang w:val="en-US" w:eastAsia="ar-SA"/>
      </w:rPr>
    </w:pP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 xml:space="preserve">                                                                                                                            </w:t>
    </w:r>
  </w:p>
  <w:p w:rsidR="00B60355" w:rsidRPr="0006168C" w:rsidRDefault="00B60355" w:rsidP="00B60355">
    <w:pPr>
      <w:tabs>
        <w:tab w:val="left" w:pos="3675"/>
      </w:tabs>
      <w:jc w:val="left"/>
      <w:rPr>
        <w:szCs w:val="24"/>
      </w:rPr>
    </w:pPr>
    <w:r w:rsidRPr="0006168C">
      <w:t>Projekt współfinansowany przez Unię Europejską ze środków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 xml:space="preserve">                        </w:t>
    </w:r>
  </w:p>
  <w:p w:rsidR="00B60355" w:rsidRPr="0006168C" w:rsidRDefault="00B60355" w:rsidP="00B60355">
    <w:pPr>
      <w:tabs>
        <w:tab w:val="center" w:pos="4536"/>
        <w:tab w:val="right" w:pos="9072"/>
      </w:tabs>
      <w:ind w:left="0" w:firstLine="0"/>
      <w:jc w:val="left"/>
    </w:pPr>
    <w:r w:rsidRPr="0006168C">
      <w:t xml:space="preserve">Funduszu Azylu, Migracji </w:t>
    </w:r>
    <w:r w:rsidRPr="00D406E6">
      <w:t>i Integracji</w:t>
    </w:r>
    <w:r w:rsidRPr="0006168C">
      <w:rPr>
        <w:rFonts w:ascii="Bookman Old Style" w:eastAsia="Calibri" w:hAnsi="Bookman Old Style" w:cs="Bookman Old Style"/>
        <w:b/>
        <w:sz w:val="16"/>
        <w:lang w:val="en-US" w:eastAsia="ar-SA"/>
      </w:rPr>
      <w:t xml:space="preserve">                                                           </w:t>
    </w:r>
  </w:p>
  <w:p w:rsidR="00B60355" w:rsidRDefault="00B60355" w:rsidP="00B60355">
    <w:pPr>
      <w:pStyle w:val="Nagwek"/>
    </w:pPr>
    <w:r w:rsidRPr="0006168C">
      <w:t>nr projektu 3/9-2018/BK-FAMI</w:t>
    </w:r>
  </w:p>
  <w:p w:rsidR="00B60355" w:rsidRPr="00D406E6" w:rsidRDefault="00B60355" w:rsidP="00B60355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EDAF731" wp14:editId="614A16F9">
              <wp:simplePos x="0" y="0"/>
              <wp:positionH relativeFrom="page">
                <wp:posOffset>882015</wp:posOffset>
              </wp:positionH>
              <wp:positionV relativeFrom="page">
                <wp:posOffset>2475230</wp:posOffset>
              </wp:positionV>
              <wp:extent cx="6048855" cy="4568"/>
              <wp:effectExtent l="0" t="0" r="0" b="0"/>
              <wp:wrapTopAndBottom/>
              <wp:docPr id="1" name="Group 17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855" cy="4568"/>
                        <a:chOff x="0" y="0"/>
                        <a:chExt cx="6048855" cy="4568"/>
                      </a:xfrm>
                    </wpg:grpSpPr>
                    <wps:wsp>
                      <wps:cNvPr id="2" name="Shape 17838"/>
                      <wps:cNvSpPr/>
                      <wps:spPr>
                        <a:xfrm>
                          <a:off x="0" y="0"/>
                          <a:ext cx="6048855" cy="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855" h="4568">
                              <a:moveTo>
                                <a:pt x="0" y="2284"/>
                              </a:moveTo>
                              <a:lnTo>
                                <a:pt x="6048855" y="2284"/>
                              </a:lnTo>
                            </a:path>
                          </a:pathLst>
                        </a:custGeom>
                        <a:noFill/>
                        <a:ln w="4568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B6C52A" id="Group 17839" o:spid="_x0000_s1026" style="position:absolute;margin-left:69.45pt;margin-top:194.9pt;width:476.3pt;height:.35pt;z-index:251666432;mso-position-horizontal-relative:page;mso-position-vertical-relative:page" coordsize="604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">
              <v:shape id="Shape 17838" o:spid="_x0000_s1027" style="position:absolute;width:60488;height:45;visibility:visible;mso-wrap-style:square;v-text-anchor:top" coordsize="6048855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" path="m,2284r6048855,e" filled="f" strokeweight=".1269mm">
                <v:stroke miterlimit="1" joinstyle="miter"/>
                <v:path arrowok="t" textboxrect="0,0,6048855,4568"/>
              </v:shape>
              <w10:wrap type="topAndBottom" anchorx="page" anchory="page"/>
            </v:group>
          </w:pict>
        </mc:Fallback>
      </mc:AlternateContent>
    </w:r>
    <w:r>
      <w:rPr>
        <w:u w:val="single"/>
      </w:rPr>
      <w:t xml:space="preserve">                                                                                            </w:t>
    </w:r>
    <w:r w:rsidRPr="00D406E6">
      <w:rPr>
        <w:rFonts w:ascii="Bookman Old Style" w:eastAsia="Calibri" w:hAnsi="Bookman Old Style" w:cs="Bookman Old Style"/>
        <w:b/>
        <w:sz w:val="16"/>
        <w:u w:val="single"/>
        <w:lang w:val="en-US" w:eastAsia="ar-SA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3.15pt;visibility:visible;mso-wrap-style:square" o:bullet="t">
        <v:imagedata r:id="rId1" o:title=""/>
      </v:shape>
    </w:pict>
  </w:numPicBullet>
  <w:abstractNum w:abstractNumId="0" w15:restartNumberingAfterBreak="0">
    <w:nsid w:val="1BDC7B68"/>
    <w:multiLevelType w:val="multilevel"/>
    <w:tmpl w:val="42EA80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15FB6"/>
    <w:multiLevelType w:val="hybridMultilevel"/>
    <w:tmpl w:val="3ECC9D7E"/>
    <w:lvl w:ilvl="0" w:tplc="559A8CF2">
      <w:start w:val="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64C1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642E2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F8AA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84412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7288A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5EDC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40DC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E423A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C7FFC"/>
    <w:multiLevelType w:val="hybridMultilevel"/>
    <w:tmpl w:val="7EB0C6E0"/>
    <w:lvl w:ilvl="0" w:tplc="3DC2C2FA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21D24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F60270">
      <w:start w:val="1"/>
      <w:numFmt w:val="bullet"/>
      <w:lvlText w:val="▪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5AC990">
      <w:start w:val="1"/>
      <w:numFmt w:val="bullet"/>
      <w:lvlText w:val="•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F66FFE">
      <w:start w:val="1"/>
      <w:numFmt w:val="bullet"/>
      <w:lvlText w:val="o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E58">
      <w:start w:val="1"/>
      <w:numFmt w:val="bullet"/>
      <w:lvlText w:val="▪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0AAA1C">
      <w:start w:val="1"/>
      <w:numFmt w:val="bullet"/>
      <w:lvlText w:val="•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74ACAC">
      <w:start w:val="1"/>
      <w:numFmt w:val="bullet"/>
      <w:lvlText w:val="o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7ED4B8">
      <w:start w:val="1"/>
      <w:numFmt w:val="bullet"/>
      <w:lvlText w:val="▪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01DAC"/>
    <w:multiLevelType w:val="hybridMultilevel"/>
    <w:tmpl w:val="F752C0B8"/>
    <w:lvl w:ilvl="0" w:tplc="E60E610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72DDB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C003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C7BE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D6455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70357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F8769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382A3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E41B9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3747E"/>
    <w:multiLevelType w:val="multilevel"/>
    <w:tmpl w:val="BD88C4B4"/>
    <w:lvl w:ilvl="0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0"/>
    <w:rsid w:val="00094B59"/>
    <w:rsid w:val="00126E1B"/>
    <w:rsid w:val="0032256D"/>
    <w:rsid w:val="00404EFD"/>
    <w:rsid w:val="00497168"/>
    <w:rsid w:val="00521814"/>
    <w:rsid w:val="00572230"/>
    <w:rsid w:val="00573302"/>
    <w:rsid w:val="005F619D"/>
    <w:rsid w:val="00615F85"/>
    <w:rsid w:val="00632DD7"/>
    <w:rsid w:val="006403BB"/>
    <w:rsid w:val="00710EFC"/>
    <w:rsid w:val="008306AB"/>
    <w:rsid w:val="00850A70"/>
    <w:rsid w:val="008A3E02"/>
    <w:rsid w:val="00B16622"/>
    <w:rsid w:val="00B60355"/>
    <w:rsid w:val="00B66DCA"/>
    <w:rsid w:val="00BE0809"/>
    <w:rsid w:val="00C12C0C"/>
    <w:rsid w:val="00C35A33"/>
    <w:rsid w:val="00C4430C"/>
    <w:rsid w:val="00C56DD0"/>
    <w:rsid w:val="00C667E8"/>
    <w:rsid w:val="00C6685F"/>
    <w:rsid w:val="00C70838"/>
    <w:rsid w:val="00CB2330"/>
    <w:rsid w:val="00D406E6"/>
    <w:rsid w:val="00D831D6"/>
    <w:rsid w:val="00DE7350"/>
    <w:rsid w:val="00F83042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4AF2D-7D5F-4173-93ED-3B7FA6B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22" w:right="36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7"/>
      <w:ind w:left="2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paragraph" w:styleId="Stopka">
    <w:name w:val="footer"/>
    <w:basedOn w:val="Normalny"/>
    <w:link w:val="StopkaZnak"/>
    <w:uiPriority w:val="99"/>
    <w:unhideWhenUsed/>
    <w:rsid w:val="006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F85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F8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D406E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P01-1006360-MDF-20210217145940</vt:lpstr>
    </vt:vector>
  </TitlesOfParts>
  <Company>Straż Graniczna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P01-1006360-MDF-20210217145940</dc:title>
  <dc:subject/>
  <dc:creator>Ficak Jan</dc:creator>
  <cp:keywords/>
  <cp:lastModifiedBy>Frączek Mariusz</cp:lastModifiedBy>
  <cp:revision>2</cp:revision>
  <cp:lastPrinted>2021-02-22T11:26:00Z</cp:lastPrinted>
  <dcterms:created xsi:type="dcterms:W3CDTF">2021-03-16T13:37:00Z</dcterms:created>
  <dcterms:modified xsi:type="dcterms:W3CDTF">2021-03-16T13:37:00Z</dcterms:modified>
</cp:coreProperties>
</file>